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4D" w:rsidRPr="004B676C" w:rsidRDefault="00A57D4D" w:rsidP="00A57D4D">
      <w:pPr>
        <w:spacing w:line="360" w:lineRule="auto"/>
        <w:rPr>
          <w:rFonts w:ascii="宋体" w:hAnsi="宋体"/>
          <w:b/>
          <w:bCs/>
          <w:sz w:val="30"/>
          <w:szCs w:val="30"/>
        </w:rPr>
      </w:pPr>
      <w:r>
        <w:rPr>
          <w:rFonts w:ascii="宋体" w:hAnsi="宋体" w:hint="eastAsia"/>
          <w:b/>
          <w:bCs/>
          <w:sz w:val="30"/>
          <w:szCs w:val="30"/>
        </w:rPr>
        <w:t>安全措施</w:t>
      </w:r>
      <w:r w:rsidRPr="004B676C">
        <w:rPr>
          <w:rFonts w:ascii="宋体" w:hAnsi="宋体" w:hint="eastAsia"/>
          <w:b/>
          <w:bCs/>
          <w:sz w:val="30"/>
          <w:szCs w:val="30"/>
        </w:rPr>
        <w:t>要求：</w:t>
      </w:r>
    </w:p>
    <w:p w:rsidR="00A57D4D" w:rsidRPr="004B676C" w:rsidRDefault="00A57D4D" w:rsidP="00A57D4D">
      <w:pPr>
        <w:spacing w:line="360" w:lineRule="auto"/>
        <w:rPr>
          <w:rFonts w:ascii="宋体" w:hAnsi="宋体"/>
          <w:kern w:val="0"/>
          <w:sz w:val="24"/>
          <w:szCs w:val="24"/>
        </w:rPr>
      </w:pPr>
      <w:r w:rsidRPr="004B676C">
        <w:rPr>
          <w:rFonts w:ascii="宋体" w:hAnsi="宋体" w:hint="eastAsia"/>
          <w:b/>
          <w:bCs/>
          <w:sz w:val="30"/>
          <w:szCs w:val="30"/>
        </w:rPr>
        <w:t>1</w:t>
      </w:r>
      <w:r w:rsidRPr="00DE4741">
        <w:rPr>
          <w:rFonts w:ascii="宋体" w:hAnsi="宋体" w:hint="eastAsia"/>
          <w:b/>
          <w:bCs/>
          <w:sz w:val="30"/>
          <w:szCs w:val="30"/>
        </w:rPr>
        <w:t>安全控制</w:t>
      </w:r>
      <w:r>
        <w:rPr>
          <w:rFonts w:ascii="宋体" w:hAnsi="宋体" w:hint="eastAsia"/>
          <w:b/>
          <w:bCs/>
          <w:sz w:val="30"/>
          <w:szCs w:val="30"/>
        </w:rPr>
        <w:t>总体要求</w:t>
      </w:r>
    </w:p>
    <w:p w:rsidR="00A57D4D" w:rsidRPr="00833C12" w:rsidRDefault="00A57D4D" w:rsidP="00A57D4D">
      <w:pPr>
        <w:spacing w:line="360" w:lineRule="auto"/>
        <w:ind w:firstLineChars="200" w:firstLine="480"/>
        <w:rPr>
          <w:rFonts w:ascii="宋体" w:hAnsi="宋体"/>
          <w:kern w:val="0"/>
          <w:sz w:val="24"/>
          <w:szCs w:val="24"/>
        </w:rPr>
      </w:pPr>
      <w:r w:rsidRPr="00833C12">
        <w:rPr>
          <w:rFonts w:ascii="宋体" w:hAnsi="宋体" w:hint="eastAsia"/>
          <w:kern w:val="0"/>
          <w:sz w:val="24"/>
          <w:szCs w:val="24"/>
        </w:rPr>
        <w:t>（1）必须认真贯彻执行国家、省、市及关于检验检测安全的法律法规的规定和要求，在未能满足检验检测安全规定和要求的情况下不得进行检验检测工作；</w:t>
      </w:r>
    </w:p>
    <w:p w:rsidR="00A57D4D" w:rsidRPr="00833C12" w:rsidRDefault="00A57D4D" w:rsidP="00A57D4D">
      <w:pPr>
        <w:spacing w:line="360" w:lineRule="auto"/>
        <w:ind w:firstLineChars="200" w:firstLine="480"/>
        <w:rPr>
          <w:rFonts w:ascii="宋体" w:hAnsi="宋体"/>
          <w:kern w:val="0"/>
          <w:sz w:val="24"/>
          <w:szCs w:val="24"/>
        </w:rPr>
      </w:pPr>
      <w:r w:rsidRPr="00833C12">
        <w:rPr>
          <w:rFonts w:ascii="宋体" w:hAnsi="宋体" w:hint="eastAsia"/>
          <w:kern w:val="0"/>
          <w:sz w:val="24"/>
          <w:szCs w:val="24"/>
        </w:rPr>
        <w:t>（2）检验检测人员应在检验方案中列出在检验检测操作过程中对于安全的要求；</w:t>
      </w:r>
    </w:p>
    <w:p w:rsidR="00A57D4D" w:rsidRPr="00833C12" w:rsidRDefault="00A57D4D" w:rsidP="00A57D4D">
      <w:pPr>
        <w:spacing w:line="360" w:lineRule="auto"/>
        <w:ind w:firstLineChars="200" w:firstLine="480"/>
        <w:rPr>
          <w:rFonts w:ascii="宋体" w:hAnsi="宋体"/>
          <w:kern w:val="0"/>
          <w:sz w:val="24"/>
          <w:szCs w:val="24"/>
        </w:rPr>
      </w:pPr>
      <w:r w:rsidRPr="00833C12">
        <w:rPr>
          <w:rFonts w:ascii="宋体" w:hAnsi="宋体" w:hint="eastAsia"/>
          <w:kern w:val="0"/>
          <w:sz w:val="24"/>
          <w:szCs w:val="24"/>
        </w:rPr>
        <w:t>（3）检验前应确认是否存在危险源，并采取可靠安全防护措施；</w:t>
      </w:r>
    </w:p>
    <w:p w:rsidR="00A57D4D" w:rsidRPr="00833C12" w:rsidRDefault="00A57D4D" w:rsidP="00A57D4D">
      <w:pPr>
        <w:spacing w:line="360" w:lineRule="auto"/>
        <w:ind w:firstLineChars="200" w:firstLine="480"/>
        <w:rPr>
          <w:rFonts w:ascii="宋体" w:hAnsi="宋体"/>
          <w:kern w:val="0"/>
          <w:sz w:val="24"/>
          <w:szCs w:val="24"/>
        </w:rPr>
      </w:pPr>
      <w:r w:rsidRPr="00833C12">
        <w:rPr>
          <w:rFonts w:ascii="宋体" w:hAnsi="宋体" w:hint="eastAsia"/>
          <w:kern w:val="0"/>
          <w:sz w:val="24"/>
          <w:szCs w:val="24"/>
        </w:rPr>
        <w:t>（4）检验检测前、检验检测中和检验后，都必须按检验方案对于安全的要求进行具体操作；</w:t>
      </w:r>
    </w:p>
    <w:p w:rsidR="00A57D4D" w:rsidRPr="00833C12" w:rsidRDefault="00A57D4D" w:rsidP="00A57D4D">
      <w:pPr>
        <w:spacing w:line="360" w:lineRule="auto"/>
        <w:ind w:firstLineChars="200" w:firstLine="480"/>
        <w:rPr>
          <w:rFonts w:ascii="宋体" w:hAnsi="宋体"/>
          <w:kern w:val="0"/>
          <w:sz w:val="24"/>
          <w:szCs w:val="24"/>
        </w:rPr>
      </w:pPr>
      <w:r w:rsidRPr="00833C12">
        <w:rPr>
          <w:rFonts w:ascii="宋体" w:hAnsi="宋体" w:hint="eastAsia"/>
          <w:kern w:val="0"/>
          <w:sz w:val="24"/>
          <w:szCs w:val="24"/>
        </w:rPr>
        <w:t>（5）若不能满足安全要求时，则不能实施检验检测，并填写《中止检验检测通知单》，并中止检验</w:t>
      </w:r>
      <w:r>
        <w:rPr>
          <w:rFonts w:ascii="宋体" w:hAnsi="宋体" w:hint="eastAsia"/>
          <w:kern w:val="0"/>
          <w:sz w:val="24"/>
          <w:szCs w:val="24"/>
        </w:rPr>
        <w:t>。</w:t>
      </w:r>
    </w:p>
    <w:p w:rsidR="00A57D4D" w:rsidRPr="00833C12" w:rsidRDefault="00A57D4D" w:rsidP="00A57D4D">
      <w:pPr>
        <w:spacing w:line="360" w:lineRule="auto"/>
        <w:ind w:firstLineChars="200" w:firstLine="480"/>
        <w:rPr>
          <w:rFonts w:ascii="宋体" w:hAnsi="宋体"/>
          <w:kern w:val="0"/>
          <w:sz w:val="24"/>
          <w:szCs w:val="24"/>
        </w:rPr>
      </w:pPr>
      <w:r w:rsidRPr="00833C12">
        <w:rPr>
          <w:rFonts w:ascii="宋体" w:hAnsi="宋体" w:hint="eastAsia"/>
          <w:kern w:val="0"/>
          <w:sz w:val="24"/>
          <w:szCs w:val="24"/>
        </w:rPr>
        <w:t>（6）</w:t>
      </w:r>
      <w:r>
        <w:rPr>
          <w:rFonts w:ascii="宋体" w:hAnsi="宋体" w:hint="eastAsia"/>
          <w:kern w:val="0"/>
          <w:sz w:val="24"/>
          <w:szCs w:val="24"/>
        </w:rPr>
        <w:t>现场</w:t>
      </w:r>
      <w:r w:rsidRPr="00833C12">
        <w:rPr>
          <w:rFonts w:ascii="宋体" w:hAnsi="宋体" w:hint="eastAsia"/>
          <w:kern w:val="0"/>
          <w:sz w:val="24"/>
          <w:szCs w:val="24"/>
        </w:rPr>
        <w:t>负责人对上述安全要求落实情况进行监督核查</w:t>
      </w:r>
      <w:r>
        <w:rPr>
          <w:rFonts w:ascii="宋体" w:hAnsi="宋体" w:hint="eastAsia"/>
          <w:kern w:val="0"/>
          <w:sz w:val="24"/>
          <w:szCs w:val="24"/>
        </w:rPr>
        <w:t>。</w:t>
      </w:r>
    </w:p>
    <w:p w:rsidR="00A57D4D" w:rsidRPr="00DE4741" w:rsidRDefault="00A57D4D" w:rsidP="00A57D4D">
      <w:pPr>
        <w:spacing w:line="360" w:lineRule="auto"/>
        <w:rPr>
          <w:rFonts w:ascii="宋体" w:hAnsi="宋体"/>
          <w:b/>
          <w:bCs/>
          <w:sz w:val="30"/>
          <w:szCs w:val="30"/>
        </w:rPr>
      </w:pPr>
      <w:r w:rsidRPr="004E7EC4">
        <w:rPr>
          <w:rFonts w:ascii="宋体" w:hAnsi="宋体" w:hint="eastAsia"/>
          <w:b/>
          <w:bCs/>
          <w:sz w:val="30"/>
          <w:szCs w:val="30"/>
        </w:rPr>
        <w:t>2</w:t>
      </w:r>
      <w:r w:rsidRPr="00DE4741">
        <w:rPr>
          <w:rFonts w:ascii="宋体" w:hAnsi="宋体" w:hint="eastAsia"/>
          <w:b/>
          <w:bCs/>
          <w:sz w:val="30"/>
          <w:szCs w:val="30"/>
        </w:rPr>
        <w:t>危险源辨识</w:t>
      </w:r>
    </w:p>
    <w:p w:rsidR="00A57D4D" w:rsidRDefault="00A57D4D" w:rsidP="00A57D4D">
      <w:pPr>
        <w:spacing w:line="360" w:lineRule="auto"/>
        <w:ind w:firstLineChars="200" w:firstLine="480"/>
        <w:rPr>
          <w:sz w:val="24"/>
        </w:rPr>
      </w:pPr>
      <w:r>
        <w:rPr>
          <w:rFonts w:hint="eastAsia"/>
          <w:sz w:val="24"/>
        </w:rPr>
        <w:t>检验检测</w:t>
      </w:r>
      <w:r w:rsidRPr="00B3581A">
        <w:rPr>
          <w:rFonts w:hint="eastAsia"/>
          <w:sz w:val="24"/>
        </w:rPr>
        <w:t>作业现场常见的危险源有：有毒有害物质、射线源、电接触、攀高作业、物体打击、跌绊、缺氧和窒息、高温环境等，危险</w:t>
      </w:r>
      <w:proofErr w:type="gramStart"/>
      <w:r w:rsidRPr="00B3581A">
        <w:rPr>
          <w:rFonts w:hint="eastAsia"/>
          <w:sz w:val="24"/>
        </w:rPr>
        <w:t>源导致</w:t>
      </w:r>
      <w:proofErr w:type="gramEnd"/>
      <w:r w:rsidRPr="00B3581A">
        <w:rPr>
          <w:rFonts w:hint="eastAsia"/>
          <w:sz w:val="24"/>
        </w:rPr>
        <w:t>事故发生的可能性及可能后果（见表</w:t>
      </w:r>
      <w:r w:rsidRPr="00B3581A">
        <w:rPr>
          <w:rFonts w:hint="eastAsia"/>
          <w:sz w:val="24"/>
        </w:rPr>
        <w:t>1</w:t>
      </w:r>
      <w:r w:rsidRPr="00B3581A">
        <w:rPr>
          <w:rFonts w:hint="eastAsia"/>
          <w:sz w:val="24"/>
        </w:rPr>
        <w:t>）</w:t>
      </w:r>
      <w:r>
        <w:rPr>
          <w:rFonts w:hint="eastAsia"/>
          <w:sz w:val="24"/>
        </w:rPr>
        <w:t>。</w:t>
      </w:r>
    </w:p>
    <w:p w:rsidR="00A57D4D" w:rsidRPr="00B3581A" w:rsidRDefault="00A57D4D" w:rsidP="00A57D4D">
      <w:pPr>
        <w:spacing w:line="360" w:lineRule="auto"/>
        <w:ind w:firstLineChars="200" w:firstLine="480"/>
        <w:rPr>
          <w:sz w:val="24"/>
        </w:rPr>
      </w:pPr>
    </w:p>
    <w:p w:rsidR="00A57D4D" w:rsidRDefault="00A57D4D" w:rsidP="00A57D4D">
      <w:pPr>
        <w:spacing w:line="360" w:lineRule="auto"/>
        <w:ind w:firstLineChars="200" w:firstLine="480"/>
        <w:jc w:val="center"/>
        <w:rPr>
          <w:rFonts w:ascii="宋体" w:hAnsi="宋体"/>
          <w:kern w:val="0"/>
          <w:sz w:val="24"/>
        </w:rPr>
      </w:pPr>
    </w:p>
    <w:p w:rsidR="00A57D4D" w:rsidRPr="00B3581A" w:rsidRDefault="00A57D4D" w:rsidP="00A57D4D">
      <w:pPr>
        <w:spacing w:line="360" w:lineRule="auto"/>
        <w:ind w:firstLineChars="200" w:firstLine="480"/>
        <w:jc w:val="center"/>
        <w:rPr>
          <w:rFonts w:ascii="宋体" w:hAnsi="宋体"/>
          <w:kern w:val="0"/>
          <w:sz w:val="24"/>
        </w:rPr>
      </w:pPr>
      <w:r w:rsidRPr="00B3581A">
        <w:rPr>
          <w:rFonts w:ascii="宋体" w:hAnsi="宋体" w:hint="eastAsia"/>
          <w:kern w:val="0"/>
          <w:sz w:val="24"/>
        </w:rPr>
        <w:t>表1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245"/>
        <w:gridCol w:w="2381"/>
        <w:gridCol w:w="2382"/>
      </w:tblGrid>
      <w:tr w:rsidR="00A57D4D" w:rsidRPr="00B3581A" w:rsidTr="00333FA1">
        <w:trPr>
          <w:trHeight w:val="397"/>
          <w:jc w:val="center"/>
        </w:trPr>
        <w:tc>
          <w:tcPr>
            <w:tcW w:w="1346" w:type="dxa"/>
            <w:vAlign w:val="center"/>
          </w:tcPr>
          <w:p w:rsidR="00A57D4D" w:rsidRPr="0021738E" w:rsidRDefault="00A57D4D" w:rsidP="00333FA1">
            <w:pPr>
              <w:jc w:val="center"/>
            </w:pPr>
            <w:r w:rsidRPr="0021738E">
              <w:rPr>
                <w:rFonts w:hint="eastAsia"/>
              </w:rPr>
              <w:t>序号</w:t>
            </w:r>
          </w:p>
        </w:tc>
        <w:tc>
          <w:tcPr>
            <w:tcW w:w="2245" w:type="dxa"/>
            <w:vAlign w:val="center"/>
          </w:tcPr>
          <w:p w:rsidR="00A57D4D" w:rsidRPr="0021738E" w:rsidRDefault="00A57D4D" w:rsidP="00333FA1">
            <w:pPr>
              <w:jc w:val="center"/>
            </w:pPr>
            <w:r w:rsidRPr="0021738E">
              <w:rPr>
                <w:rFonts w:hint="eastAsia"/>
              </w:rPr>
              <w:t>危险源</w:t>
            </w:r>
          </w:p>
        </w:tc>
        <w:tc>
          <w:tcPr>
            <w:tcW w:w="2381" w:type="dxa"/>
            <w:vAlign w:val="center"/>
          </w:tcPr>
          <w:p w:rsidR="00A57D4D" w:rsidRPr="0021738E" w:rsidRDefault="00A57D4D" w:rsidP="00333FA1">
            <w:pPr>
              <w:jc w:val="center"/>
            </w:pPr>
            <w:r w:rsidRPr="0021738E">
              <w:rPr>
                <w:rFonts w:hint="eastAsia"/>
              </w:rPr>
              <w:t>可能性</w:t>
            </w:r>
          </w:p>
        </w:tc>
        <w:tc>
          <w:tcPr>
            <w:tcW w:w="2382" w:type="dxa"/>
            <w:vAlign w:val="center"/>
          </w:tcPr>
          <w:p w:rsidR="00A57D4D" w:rsidRPr="0021738E" w:rsidRDefault="00A57D4D" w:rsidP="00333FA1">
            <w:pPr>
              <w:jc w:val="center"/>
            </w:pPr>
            <w:r w:rsidRPr="0021738E">
              <w:rPr>
                <w:rFonts w:hint="eastAsia"/>
              </w:rPr>
              <w:t>后果</w:t>
            </w:r>
          </w:p>
        </w:tc>
      </w:tr>
      <w:tr w:rsidR="00A57D4D" w:rsidRPr="00B3581A" w:rsidTr="00333FA1">
        <w:trPr>
          <w:trHeight w:val="397"/>
          <w:jc w:val="center"/>
        </w:trPr>
        <w:tc>
          <w:tcPr>
            <w:tcW w:w="1346" w:type="dxa"/>
            <w:vAlign w:val="center"/>
          </w:tcPr>
          <w:p w:rsidR="00A57D4D" w:rsidRPr="0021738E" w:rsidRDefault="00A57D4D" w:rsidP="00333FA1">
            <w:pPr>
              <w:jc w:val="center"/>
            </w:pPr>
            <w:r w:rsidRPr="0021738E">
              <w:rPr>
                <w:rFonts w:hint="eastAsia"/>
              </w:rPr>
              <w:t>1</w:t>
            </w:r>
          </w:p>
        </w:tc>
        <w:tc>
          <w:tcPr>
            <w:tcW w:w="2245" w:type="dxa"/>
            <w:vAlign w:val="center"/>
          </w:tcPr>
          <w:p w:rsidR="00A57D4D" w:rsidRPr="0021738E" w:rsidRDefault="00A57D4D" w:rsidP="00333FA1">
            <w:pPr>
              <w:jc w:val="center"/>
            </w:pPr>
            <w:r w:rsidRPr="0021738E">
              <w:rPr>
                <w:rFonts w:hint="eastAsia"/>
              </w:rPr>
              <w:t>有毒有害物质</w:t>
            </w:r>
          </w:p>
        </w:tc>
        <w:tc>
          <w:tcPr>
            <w:tcW w:w="2381" w:type="dxa"/>
            <w:vAlign w:val="center"/>
          </w:tcPr>
          <w:p w:rsidR="00A57D4D" w:rsidRPr="0021738E" w:rsidRDefault="00A57D4D" w:rsidP="00333FA1">
            <w:pPr>
              <w:jc w:val="center"/>
            </w:pPr>
            <w:r w:rsidRPr="0021738E">
              <w:rPr>
                <w:rFonts w:hint="eastAsia"/>
              </w:rPr>
              <w:t>多</w:t>
            </w:r>
          </w:p>
        </w:tc>
        <w:tc>
          <w:tcPr>
            <w:tcW w:w="2382" w:type="dxa"/>
            <w:vAlign w:val="center"/>
          </w:tcPr>
          <w:p w:rsidR="00A57D4D" w:rsidRPr="0021738E" w:rsidRDefault="00A57D4D" w:rsidP="00333FA1">
            <w:pPr>
              <w:jc w:val="center"/>
            </w:pPr>
            <w:r w:rsidRPr="0021738E">
              <w:rPr>
                <w:rFonts w:hint="eastAsia"/>
              </w:rPr>
              <w:t>呼吸系统损伤</w:t>
            </w:r>
          </w:p>
        </w:tc>
      </w:tr>
      <w:tr w:rsidR="00A57D4D" w:rsidRPr="00B3581A" w:rsidTr="00333FA1">
        <w:trPr>
          <w:trHeight w:val="397"/>
          <w:jc w:val="center"/>
        </w:trPr>
        <w:tc>
          <w:tcPr>
            <w:tcW w:w="1346" w:type="dxa"/>
            <w:vAlign w:val="center"/>
          </w:tcPr>
          <w:p w:rsidR="00A57D4D" w:rsidRPr="0021738E" w:rsidRDefault="00A57D4D" w:rsidP="00333FA1">
            <w:pPr>
              <w:jc w:val="center"/>
            </w:pPr>
            <w:r w:rsidRPr="0021738E">
              <w:rPr>
                <w:rFonts w:hint="eastAsia"/>
              </w:rPr>
              <w:t>2</w:t>
            </w:r>
          </w:p>
        </w:tc>
        <w:tc>
          <w:tcPr>
            <w:tcW w:w="2245" w:type="dxa"/>
            <w:vAlign w:val="center"/>
          </w:tcPr>
          <w:p w:rsidR="00A57D4D" w:rsidRPr="0021738E" w:rsidRDefault="00A57D4D" w:rsidP="00333FA1">
            <w:pPr>
              <w:jc w:val="center"/>
            </w:pPr>
            <w:r w:rsidRPr="0021738E">
              <w:rPr>
                <w:rFonts w:hint="eastAsia"/>
              </w:rPr>
              <w:t>攀高作业</w:t>
            </w:r>
          </w:p>
        </w:tc>
        <w:tc>
          <w:tcPr>
            <w:tcW w:w="2381" w:type="dxa"/>
            <w:vAlign w:val="center"/>
          </w:tcPr>
          <w:p w:rsidR="00A57D4D" w:rsidRPr="0021738E" w:rsidRDefault="00A57D4D" w:rsidP="00333FA1">
            <w:pPr>
              <w:jc w:val="center"/>
            </w:pPr>
            <w:r w:rsidRPr="0021738E">
              <w:rPr>
                <w:rFonts w:hint="eastAsia"/>
              </w:rPr>
              <w:t>较多</w:t>
            </w:r>
          </w:p>
        </w:tc>
        <w:tc>
          <w:tcPr>
            <w:tcW w:w="2382" w:type="dxa"/>
            <w:vAlign w:val="center"/>
          </w:tcPr>
          <w:p w:rsidR="00A57D4D" w:rsidRPr="0021738E" w:rsidRDefault="00A57D4D" w:rsidP="00333FA1">
            <w:pPr>
              <w:jc w:val="center"/>
            </w:pPr>
            <w:r w:rsidRPr="0021738E">
              <w:rPr>
                <w:rFonts w:hint="eastAsia"/>
              </w:rPr>
              <w:t>坠落摔伤或死亡</w:t>
            </w:r>
          </w:p>
        </w:tc>
      </w:tr>
      <w:tr w:rsidR="00A57D4D" w:rsidRPr="00B3581A" w:rsidTr="00333FA1">
        <w:trPr>
          <w:trHeight w:val="397"/>
          <w:jc w:val="center"/>
        </w:trPr>
        <w:tc>
          <w:tcPr>
            <w:tcW w:w="1346" w:type="dxa"/>
            <w:vAlign w:val="center"/>
          </w:tcPr>
          <w:p w:rsidR="00A57D4D" w:rsidRPr="0021738E" w:rsidRDefault="00A57D4D" w:rsidP="00333FA1">
            <w:pPr>
              <w:jc w:val="center"/>
            </w:pPr>
            <w:r w:rsidRPr="0021738E">
              <w:rPr>
                <w:rFonts w:hint="eastAsia"/>
              </w:rPr>
              <w:t>3</w:t>
            </w:r>
          </w:p>
        </w:tc>
        <w:tc>
          <w:tcPr>
            <w:tcW w:w="2245" w:type="dxa"/>
            <w:vAlign w:val="center"/>
          </w:tcPr>
          <w:p w:rsidR="00A57D4D" w:rsidRPr="0021738E" w:rsidRDefault="00A57D4D" w:rsidP="00333FA1">
            <w:pPr>
              <w:jc w:val="center"/>
            </w:pPr>
            <w:r w:rsidRPr="0021738E">
              <w:rPr>
                <w:rFonts w:hint="eastAsia"/>
              </w:rPr>
              <w:t>电接触</w:t>
            </w:r>
          </w:p>
        </w:tc>
        <w:tc>
          <w:tcPr>
            <w:tcW w:w="2381" w:type="dxa"/>
            <w:vAlign w:val="center"/>
          </w:tcPr>
          <w:p w:rsidR="00A57D4D" w:rsidRPr="0021738E" w:rsidRDefault="00A57D4D" w:rsidP="00333FA1">
            <w:pPr>
              <w:jc w:val="center"/>
            </w:pPr>
            <w:r w:rsidRPr="0021738E">
              <w:rPr>
                <w:rFonts w:hint="eastAsia"/>
              </w:rPr>
              <w:t>较多</w:t>
            </w:r>
          </w:p>
        </w:tc>
        <w:tc>
          <w:tcPr>
            <w:tcW w:w="2382" w:type="dxa"/>
            <w:vAlign w:val="center"/>
          </w:tcPr>
          <w:p w:rsidR="00A57D4D" w:rsidRPr="0021738E" w:rsidRDefault="00A57D4D" w:rsidP="00333FA1">
            <w:pPr>
              <w:jc w:val="center"/>
            </w:pPr>
            <w:r w:rsidRPr="0021738E">
              <w:rPr>
                <w:rFonts w:hint="eastAsia"/>
              </w:rPr>
              <w:t>电伤或死亡</w:t>
            </w:r>
          </w:p>
        </w:tc>
      </w:tr>
      <w:tr w:rsidR="00A57D4D" w:rsidRPr="00B3581A" w:rsidTr="00333FA1">
        <w:trPr>
          <w:trHeight w:val="397"/>
          <w:jc w:val="center"/>
        </w:trPr>
        <w:tc>
          <w:tcPr>
            <w:tcW w:w="1346" w:type="dxa"/>
            <w:vAlign w:val="center"/>
          </w:tcPr>
          <w:p w:rsidR="00A57D4D" w:rsidRPr="0021738E" w:rsidRDefault="00A57D4D" w:rsidP="00333FA1">
            <w:pPr>
              <w:jc w:val="center"/>
            </w:pPr>
            <w:r w:rsidRPr="0021738E">
              <w:rPr>
                <w:rFonts w:hint="eastAsia"/>
              </w:rPr>
              <w:t>4</w:t>
            </w:r>
          </w:p>
        </w:tc>
        <w:tc>
          <w:tcPr>
            <w:tcW w:w="2245" w:type="dxa"/>
            <w:vAlign w:val="center"/>
          </w:tcPr>
          <w:p w:rsidR="00A57D4D" w:rsidRPr="0021738E" w:rsidRDefault="00A57D4D" w:rsidP="00333FA1">
            <w:pPr>
              <w:jc w:val="center"/>
            </w:pPr>
            <w:r w:rsidRPr="0021738E">
              <w:rPr>
                <w:rFonts w:hint="eastAsia"/>
              </w:rPr>
              <w:t>物体打击</w:t>
            </w:r>
          </w:p>
        </w:tc>
        <w:tc>
          <w:tcPr>
            <w:tcW w:w="2381" w:type="dxa"/>
            <w:vAlign w:val="center"/>
          </w:tcPr>
          <w:p w:rsidR="00A57D4D" w:rsidRPr="0021738E" w:rsidRDefault="00A57D4D" w:rsidP="00333FA1">
            <w:pPr>
              <w:jc w:val="center"/>
            </w:pPr>
            <w:r w:rsidRPr="0021738E">
              <w:rPr>
                <w:rFonts w:hint="eastAsia"/>
              </w:rPr>
              <w:t>较多</w:t>
            </w:r>
          </w:p>
        </w:tc>
        <w:tc>
          <w:tcPr>
            <w:tcW w:w="2382" w:type="dxa"/>
            <w:vAlign w:val="center"/>
          </w:tcPr>
          <w:p w:rsidR="00A57D4D" w:rsidRPr="0021738E" w:rsidRDefault="00A57D4D" w:rsidP="00333FA1">
            <w:pPr>
              <w:jc w:val="center"/>
            </w:pPr>
            <w:r w:rsidRPr="0021738E">
              <w:rPr>
                <w:rFonts w:hint="eastAsia"/>
              </w:rPr>
              <w:t>砸伤或死亡</w:t>
            </w:r>
          </w:p>
        </w:tc>
      </w:tr>
      <w:tr w:rsidR="00A57D4D" w:rsidRPr="00B3581A" w:rsidTr="00333FA1">
        <w:trPr>
          <w:trHeight w:val="397"/>
          <w:jc w:val="center"/>
        </w:trPr>
        <w:tc>
          <w:tcPr>
            <w:tcW w:w="1346" w:type="dxa"/>
            <w:vAlign w:val="center"/>
          </w:tcPr>
          <w:p w:rsidR="00A57D4D" w:rsidRPr="0021738E" w:rsidRDefault="00A57D4D" w:rsidP="00333FA1">
            <w:pPr>
              <w:jc w:val="center"/>
            </w:pPr>
            <w:r w:rsidRPr="0021738E">
              <w:rPr>
                <w:rFonts w:hint="eastAsia"/>
              </w:rPr>
              <w:t>5</w:t>
            </w:r>
          </w:p>
        </w:tc>
        <w:tc>
          <w:tcPr>
            <w:tcW w:w="2245" w:type="dxa"/>
            <w:vAlign w:val="center"/>
          </w:tcPr>
          <w:p w:rsidR="00A57D4D" w:rsidRPr="0021738E" w:rsidRDefault="00A57D4D" w:rsidP="00333FA1">
            <w:pPr>
              <w:jc w:val="center"/>
            </w:pPr>
            <w:r w:rsidRPr="0021738E">
              <w:rPr>
                <w:rFonts w:hint="eastAsia"/>
              </w:rPr>
              <w:t>射线源</w:t>
            </w:r>
          </w:p>
        </w:tc>
        <w:tc>
          <w:tcPr>
            <w:tcW w:w="2381" w:type="dxa"/>
            <w:vAlign w:val="center"/>
          </w:tcPr>
          <w:p w:rsidR="00A57D4D" w:rsidRPr="0021738E" w:rsidRDefault="00A57D4D" w:rsidP="00333FA1">
            <w:pPr>
              <w:jc w:val="center"/>
            </w:pPr>
            <w:r w:rsidRPr="0021738E">
              <w:rPr>
                <w:rFonts w:hint="eastAsia"/>
              </w:rPr>
              <w:t>较多</w:t>
            </w:r>
          </w:p>
        </w:tc>
        <w:tc>
          <w:tcPr>
            <w:tcW w:w="2382" w:type="dxa"/>
            <w:vAlign w:val="center"/>
          </w:tcPr>
          <w:p w:rsidR="00A57D4D" w:rsidRPr="0021738E" w:rsidRDefault="00A57D4D" w:rsidP="00333FA1">
            <w:pPr>
              <w:jc w:val="center"/>
            </w:pPr>
            <w:r w:rsidRPr="0021738E">
              <w:rPr>
                <w:rFonts w:hint="eastAsia"/>
              </w:rPr>
              <w:t>辐射损伤</w:t>
            </w:r>
          </w:p>
        </w:tc>
      </w:tr>
      <w:tr w:rsidR="00A57D4D" w:rsidRPr="00B3581A" w:rsidTr="00333FA1">
        <w:trPr>
          <w:trHeight w:val="397"/>
          <w:jc w:val="center"/>
        </w:trPr>
        <w:tc>
          <w:tcPr>
            <w:tcW w:w="1346" w:type="dxa"/>
            <w:vAlign w:val="center"/>
          </w:tcPr>
          <w:p w:rsidR="00A57D4D" w:rsidRPr="0021738E" w:rsidRDefault="00A57D4D" w:rsidP="00333FA1">
            <w:pPr>
              <w:jc w:val="center"/>
            </w:pPr>
            <w:r w:rsidRPr="0021738E">
              <w:rPr>
                <w:rFonts w:hint="eastAsia"/>
              </w:rPr>
              <w:t>6</w:t>
            </w:r>
          </w:p>
        </w:tc>
        <w:tc>
          <w:tcPr>
            <w:tcW w:w="2245" w:type="dxa"/>
            <w:vAlign w:val="center"/>
          </w:tcPr>
          <w:p w:rsidR="00A57D4D" w:rsidRPr="0021738E" w:rsidRDefault="00A57D4D" w:rsidP="00333FA1">
            <w:pPr>
              <w:jc w:val="center"/>
            </w:pPr>
            <w:proofErr w:type="gramStart"/>
            <w:r w:rsidRPr="0021738E">
              <w:rPr>
                <w:rFonts w:hint="eastAsia"/>
              </w:rPr>
              <w:t>跌绊</w:t>
            </w:r>
            <w:proofErr w:type="gramEnd"/>
          </w:p>
        </w:tc>
        <w:tc>
          <w:tcPr>
            <w:tcW w:w="2381" w:type="dxa"/>
            <w:vAlign w:val="center"/>
          </w:tcPr>
          <w:p w:rsidR="00A57D4D" w:rsidRPr="0021738E" w:rsidRDefault="00A57D4D" w:rsidP="00333FA1">
            <w:pPr>
              <w:jc w:val="center"/>
            </w:pPr>
            <w:r w:rsidRPr="0021738E">
              <w:rPr>
                <w:rFonts w:hint="eastAsia"/>
              </w:rPr>
              <w:t>较多</w:t>
            </w:r>
          </w:p>
        </w:tc>
        <w:tc>
          <w:tcPr>
            <w:tcW w:w="2382" w:type="dxa"/>
            <w:vAlign w:val="center"/>
          </w:tcPr>
          <w:p w:rsidR="00A57D4D" w:rsidRPr="0021738E" w:rsidRDefault="00A57D4D" w:rsidP="00333FA1">
            <w:pPr>
              <w:jc w:val="center"/>
            </w:pPr>
            <w:r w:rsidRPr="0021738E">
              <w:rPr>
                <w:rFonts w:hint="eastAsia"/>
              </w:rPr>
              <w:t>跌伤</w:t>
            </w:r>
          </w:p>
        </w:tc>
      </w:tr>
      <w:tr w:rsidR="00A57D4D" w:rsidRPr="00B3581A" w:rsidTr="00333FA1">
        <w:trPr>
          <w:trHeight w:val="397"/>
          <w:jc w:val="center"/>
        </w:trPr>
        <w:tc>
          <w:tcPr>
            <w:tcW w:w="1346" w:type="dxa"/>
            <w:vAlign w:val="center"/>
          </w:tcPr>
          <w:p w:rsidR="00A57D4D" w:rsidRPr="0021738E" w:rsidRDefault="00A57D4D" w:rsidP="00333FA1">
            <w:pPr>
              <w:jc w:val="center"/>
            </w:pPr>
            <w:r w:rsidRPr="0021738E">
              <w:rPr>
                <w:rFonts w:hint="eastAsia"/>
              </w:rPr>
              <w:t>7</w:t>
            </w:r>
          </w:p>
        </w:tc>
        <w:tc>
          <w:tcPr>
            <w:tcW w:w="2245" w:type="dxa"/>
            <w:vAlign w:val="center"/>
          </w:tcPr>
          <w:p w:rsidR="00A57D4D" w:rsidRPr="0021738E" w:rsidRDefault="00A57D4D" w:rsidP="00333FA1">
            <w:pPr>
              <w:jc w:val="center"/>
            </w:pPr>
            <w:r w:rsidRPr="0021738E">
              <w:rPr>
                <w:rFonts w:hint="eastAsia"/>
              </w:rPr>
              <w:t>缺氧和窒息</w:t>
            </w:r>
          </w:p>
        </w:tc>
        <w:tc>
          <w:tcPr>
            <w:tcW w:w="2381" w:type="dxa"/>
            <w:vAlign w:val="center"/>
          </w:tcPr>
          <w:p w:rsidR="00A57D4D" w:rsidRPr="0021738E" w:rsidRDefault="00A57D4D" w:rsidP="00333FA1">
            <w:pPr>
              <w:jc w:val="center"/>
            </w:pPr>
            <w:r w:rsidRPr="0021738E">
              <w:rPr>
                <w:rFonts w:hint="eastAsia"/>
              </w:rPr>
              <w:t>少</w:t>
            </w:r>
          </w:p>
        </w:tc>
        <w:tc>
          <w:tcPr>
            <w:tcW w:w="2382" w:type="dxa"/>
            <w:vAlign w:val="center"/>
          </w:tcPr>
          <w:p w:rsidR="00A57D4D" w:rsidRPr="0021738E" w:rsidRDefault="00A57D4D" w:rsidP="00333FA1">
            <w:pPr>
              <w:jc w:val="center"/>
            </w:pPr>
            <w:r w:rsidRPr="0021738E">
              <w:rPr>
                <w:rFonts w:hint="eastAsia"/>
              </w:rPr>
              <w:t>人体损伤或死亡</w:t>
            </w:r>
          </w:p>
        </w:tc>
      </w:tr>
      <w:tr w:rsidR="00A57D4D" w:rsidRPr="00B3581A" w:rsidTr="00333FA1">
        <w:trPr>
          <w:trHeight w:val="397"/>
          <w:jc w:val="center"/>
        </w:trPr>
        <w:tc>
          <w:tcPr>
            <w:tcW w:w="1346" w:type="dxa"/>
            <w:vAlign w:val="center"/>
          </w:tcPr>
          <w:p w:rsidR="00A57D4D" w:rsidRPr="0021738E" w:rsidRDefault="00A57D4D" w:rsidP="00333FA1">
            <w:pPr>
              <w:jc w:val="center"/>
            </w:pPr>
            <w:r w:rsidRPr="0021738E">
              <w:rPr>
                <w:rFonts w:hint="eastAsia"/>
              </w:rPr>
              <w:t>8</w:t>
            </w:r>
          </w:p>
        </w:tc>
        <w:tc>
          <w:tcPr>
            <w:tcW w:w="2245" w:type="dxa"/>
            <w:vAlign w:val="center"/>
          </w:tcPr>
          <w:p w:rsidR="00A57D4D" w:rsidRPr="0021738E" w:rsidRDefault="00A57D4D" w:rsidP="00333FA1">
            <w:pPr>
              <w:jc w:val="center"/>
            </w:pPr>
            <w:r w:rsidRPr="0021738E">
              <w:rPr>
                <w:rFonts w:hint="eastAsia"/>
              </w:rPr>
              <w:t>高温环境</w:t>
            </w:r>
          </w:p>
        </w:tc>
        <w:tc>
          <w:tcPr>
            <w:tcW w:w="2381" w:type="dxa"/>
            <w:vAlign w:val="center"/>
          </w:tcPr>
          <w:p w:rsidR="00A57D4D" w:rsidRPr="0021738E" w:rsidRDefault="00A57D4D" w:rsidP="00333FA1">
            <w:pPr>
              <w:jc w:val="center"/>
            </w:pPr>
            <w:r w:rsidRPr="0021738E">
              <w:rPr>
                <w:rFonts w:hint="eastAsia"/>
              </w:rPr>
              <w:t>少</w:t>
            </w:r>
          </w:p>
        </w:tc>
        <w:tc>
          <w:tcPr>
            <w:tcW w:w="2382" w:type="dxa"/>
            <w:vAlign w:val="center"/>
          </w:tcPr>
          <w:p w:rsidR="00A57D4D" w:rsidRPr="0021738E" w:rsidRDefault="00A57D4D" w:rsidP="00333FA1">
            <w:pPr>
              <w:jc w:val="center"/>
            </w:pPr>
            <w:r w:rsidRPr="0021738E">
              <w:rPr>
                <w:rFonts w:hint="eastAsia"/>
              </w:rPr>
              <w:t>身体不适或烫伤</w:t>
            </w:r>
          </w:p>
        </w:tc>
      </w:tr>
    </w:tbl>
    <w:p w:rsidR="00A57D4D" w:rsidRPr="00B17C08" w:rsidRDefault="00A57D4D" w:rsidP="00A57D4D">
      <w:pPr>
        <w:spacing w:line="360" w:lineRule="auto"/>
        <w:rPr>
          <w:rFonts w:ascii="宋体" w:hAnsi="宋体"/>
          <w:b/>
          <w:bCs/>
          <w:sz w:val="30"/>
          <w:szCs w:val="30"/>
        </w:rPr>
      </w:pPr>
      <w:bookmarkStart w:id="0" w:name="_GoBack"/>
      <w:bookmarkEnd w:id="0"/>
      <w:r>
        <w:rPr>
          <w:rFonts w:ascii="宋体" w:hAnsi="宋体" w:hint="eastAsia"/>
          <w:b/>
          <w:bCs/>
          <w:sz w:val="30"/>
          <w:szCs w:val="30"/>
        </w:rPr>
        <w:t>3</w:t>
      </w:r>
      <w:r w:rsidRPr="00B17C08">
        <w:rPr>
          <w:rFonts w:ascii="宋体" w:hAnsi="宋体" w:hint="eastAsia"/>
          <w:b/>
          <w:bCs/>
          <w:sz w:val="30"/>
          <w:szCs w:val="30"/>
        </w:rPr>
        <w:t>安全</w:t>
      </w:r>
      <w:r>
        <w:rPr>
          <w:rFonts w:ascii="宋体" w:hAnsi="宋体" w:hint="eastAsia"/>
          <w:b/>
          <w:bCs/>
          <w:sz w:val="30"/>
          <w:szCs w:val="30"/>
        </w:rPr>
        <w:t>防护要求</w:t>
      </w:r>
    </w:p>
    <w:p w:rsidR="00A57D4D" w:rsidRDefault="00A57D4D" w:rsidP="00A57D4D">
      <w:pPr>
        <w:spacing w:line="360" w:lineRule="auto"/>
        <w:ind w:firstLineChars="200" w:firstLine="480"/>
        <w:rPr>
          <w:rFonts w:ascii="宋体" w:hAnsi="宋体"/>
          <w:kern w:val="0"/>
          <w:sz w:val="24"/>
          <w:szCs w:val="24"/>
        </w:rPr>
      </w:pPr>
      <w:r>
        <w:rPr>
          <w:rFonts w:hint="eastAsia"/>
          <w:sz w:val="24"/>
        </w:rPr>
        <w:lastRenderedPageBreak/>
        <w:t>对于检验检测</w:t>
      </w:r>
      <w:r w:rsidRPr="00B3581A">
        <w:rPr>
          <w:rFonts w:hint="eastAsia"/>
          <w:sz w:val="24"/>
        </w:rPr>
        <w:t>作业现场常见的危险源</w:t>
      </w:r>
      <w:r>
        <w:rPr>
          <w:rFonts w:hint="eastAsia"/>
          <w:sz w:val="24"/>
        </w:rPr>
        <w:t>及</w:t>
      </w:r>
      <w:r w:rsidRPr="00B3581A">
        <w:rPr>
          <w:rFonts w:hint="eastAsia"/>
          <w:sz w:val="24"/>
        </w:rPr>
        <w:t>危险</w:t>
      </w:r>
      <w:proofErr w:type="gramStart"/>
      <w:r w:rsidRPr="00B3581A">
        <w:rPr>
          <w:rFonts w:hint="eastAsia"/>
          <w:sz w:val="24"/>
        </w:rPr>
        <w:t>源导致</w:t>
      </w:r>
      <w:proofErr w:type="gramEnd"/>
      <w:r w:rsidRPr="00B3581A">
        <w:rPr>
          <w:rFonts w:hint="eastAsia"/>
          <w:sz w:val="24"/>
        </w:rPr>
        <w:t>事故发生的可能性及可能后果</w:t>
      </w:r>
      <w:r>
        <w:rPr>
          <w:rFonts w:hint="eastAsia"/>
          <w:sz w:val="24"/>
        </w:rPr>
        <w:t>，应做好如下安全防护。</w:t>
      </w:r>
    </w:p>
    <w:p w:rsidR="00A57D4D" w:rsidRPr="00DE4741" w:rsidRDefault="00A57D4D" w:rsidP="00A57D4D">
      <w:pPr>
        <w:spacing w:line="360" w:lineRule="auto"/>
        <w:ind w:firstLineChars="200" w:firstLine="480"/>
        <w:rPr>
          <w:rFonts w:ascii="宋体" w:hAnsi="宋体"/>
          <w:kern w:val="0"/>
          <w:sz w:val="24"/>
          <w:szCs w:val="24"/>
        </w:rPr>
      </w:pPr>
      <w:r w:rsidRPr="00DE4741">
        <w:rPr>
          <w:rFonts w:ascii="宋体" w:hAnsi="宋体" w:hint="eastAsia"/>
          <w:kern w:val="0"/>
          <w:sz w:val="24"/>
          <w:szCs w:val="24"/>
        </w:rPr>
        <w:t>（1） 检验人员在进行锅炉检验前应穿戴好防酸、防碱、防潮、透气的连体工作服、手套、绝缘鞋、防震、防尘、防撞击的安全帽、安全带；定期检验还应戴好防毒面具、防护镜、头灯、攀登自锁器、护肘、护膝、缺氧报警仪等安全防护用品器具。检验现场应放置警示标记，检验员必须了解所检锅炉的结构特点及检验现场是否存在不安全因素。对垃圾焚烧锅炉或者其他存在特殊有毒有害物质（二噁英、酸性气体、卤化物）的电站锅炉内部检验时，检验人员应做好必要的安全防护，如防化服及过滤有害物质的封闭式呼吸面罩等；</w:t>
      </w:r>
    </w:p>
    <w:p w:rsidR="00A57D4D" w:rsidRPr="00DE4741" w:rsidRDefault="00A57D4D" w:rsidP="00A57D4D">
      <w:pPr>
        <w:spacing w:line="360" w:lineRule="auto"/>
        <w:ind w:firstLineChars="200" w:firstLine="480"/>
        <w:rPr>
          <w:rFonts w:ascii="宋体" w:hAnsi="宋体"/>
          <w:kern w:val="0"/>
          <w:sz w:val="24"/>
          <w:szCs w:val="24"/>
        </w:rPr>
      </w:pPr>
      <w:r w:rsidRPr="00DE4741">
        <w:rPr>
          <w:rFonts w:ascii="宋体" w:hAnsi="宋体" w:hint="eastAsia"/>
          <w:kern w:val="0"/>
          <w:sz w:val="24"/>
          <w:szCs w:val="24"/>
        </w:rPr>
        <w:t>（2） 检验人员在进入锅筒（锅壳）内部工作前，必须采取可靠措施将连接其他运行锅炉的蒸汽、给水、排污等管道全部可靠地隔开，且必须将锅筒（锅壳）上的人孔和集箱上的手孔打开，将锅筒（锅壳）内的水放净，并且使锅筒（锅壳）内部有良好的通风。</w:t>
      </w:r>
      <w:proofErr w:type="gramStart"/>
      <w:r w:rsidRPr="00DE4741">
        <w:rPr>
          <w:rFonts w:ascii="宋体" w:hAnsi="宋体" w:hint="eastAsia"/>
          <w:kern w:val="0"/>
          <w:sz w:val="24"/>
          <w:szCs w:val="24"/>
        </w:rPr>
        <w:t>且锅筒</w:t>
      </w:r>
      <w:proofErr w:type="gramEnd"/>
      <w:r w:rsidRPr="00DE4741">
        <w:rPr>
          <w:rFonts w:ascii="宋体" w:hAnsi="宋体" w:hint="eastAsia"/>
          <w:kern w:val="0"/>
          <w:sz w:val="24"/>
          <w:szCs w:val="24"/>
        </w:rPr>
        <w:t>（锅壳）外应有人监护；</w:t>
      </w:r>
    </w:p>
    <w:p w:rsidR="00A57D4D" w:rsidRPr="00DE4741" w:rsidRDefault="00A57D4D" w:rsidP="00A57D4D">
      <w:pPr>
        <w:spacing w:line="360" w:lineRule="auto"/>
        <w:ind w:firstLineChars="200" w:firstLine="480"/>
        <w:rPr>
          <w:rFonts w:ascii="宋体" w:hAnsi="宋体"/>
          <w:kern w:val="0"/>
          <w:sz w:val="24"/>
          <w:szCs w:val="24"/>
        </w:rPr>
      </w:pPr>
      <w:r w:rsidRPr="00DE4741">
        <w:rPr>
          <w:rFonts w:ascii="宋体" w:hAnsi="宋体" w:hint="eastAsia"/>
          <w:kern w:val="0"/>
          <w:sz w:val="24"/>
          <w:szCs w:val="24"/>
        </w:rPr>
        <w:t>（3） 检验人员在进入烟道或燃烧室工作前，必须进行通风，并将与总烟道或其他运行的烟道相连的烟道</w:t>
      </w:r>
      <w:proofErr w:type="gramStart"/>
      <w:r w:rsidRPr="00DE4741">
        <w:rPr>
          <w:rFonts w:ascii="宋体" w:hAnsi="宋体" w:hint="eastAsia"/>
          <w:kern w:val="0"/>
          <w:sz w:val="24"/>
          <w:szCs w:val="24"/>
        </w:rPr>
        <w:t>闸门关</w:t>
      </w:r>
      <w:proofErr w:type="gramEnd"/>
      <w:r w:rsidRPr="00DE4741">
        <w:rPr>
          <w:rFonts w:ascii="宋体" w:hAnsi="宋体" w:hint="eastAsia"/>
          <w:kern w:val="0"/>
          <w:sz w:val="24"/>
          <w:szCs w:val="24"/>
        </w:rPr>
        <w:t>严密，以防毒、防火、防爆。对垃圾焚烧炉或者其他存在有毒有害物质的锅炉，将有毒有害物质清理干净；</w:t>
      </w:r>
    </w:p>
    <w:p w:rsidR="00A57D4D" w:rsidRPr="00DE4741" w:rsidRDefault="00A57D4D" w:rsidP="00A57D4D">
      <w:pPr>
        <w:spacing w:line="360" w:lineRule="auto"/>
        <w:ind w:firstLineChars="200" w:firstLine="480"/>
        <w:rPr>
          <w:rFonts w:ascii="宋体" w:hAnsi="宋体"/>
          <w:kern w:val="0"/>
          <w:sz w:val="24"/>
          <w:szCs w:val="24"/>
        </w:rPr>
      </w:pPr>
      <w:r w:rsidRPr="00DE4741">
        <w:rPr>
          <w:rFonts w:ascii="宋体" w:hAnsi="宋体" w:hint="eastAsia"/>
          <w:kern w:val="0"/>
          <w:sz w:val="24"/>
          <w:szCs w:val="24"/>
        </w:rPr>
        <w:t>（4） 用油或气体作燃料的锅炉，应可靠地隔断油、气的来源并进行通风置换；</w:t>
      </w:r>
    </w:p>
    <w:p w:rsidR="00A57D4D" w:rsidRPr="00DE4741" w:rsidRDefault="00A57D4D" w:rsidP="00A57D4D">
      <w:pPr>
        <w:spacing w:line="360" w:lineRule="auto"/>
        <w:ind w:firstLineChars="200" w:firstLine="480"/>
        <w:rPr>
          <w:rFonts w:ascii="宋体" w:hAnsi="宋体"/>
          <w:kern w:val="0"/>
          <w:sz w:val="24"/>
          <w:szCs w:val="24"/>
        </w:rPr>
      </w:pPr>
      <w:r w:rsidRPr="00DE4741">
        <w:rPr>
          <w:rFonts w:ascii="宋体" w:hAnsi="宋体" w:hint="eastAsia"/>
          <w:kern w:val="0"/>
          <w:sz w:val="24"/>
          <w:szCs w:val="24"/>
        </w:rPr>
        <w:t>（5） 检验人员在锅筒（锅壳）和潮湿的烟道内工作而使用电灯照明时，照明电压应不超过24V；在比较干燥的烟道内，应有妥善的安全措施，可采用不高于36V的照明电压；</w:t>
      </w:r>
    </w:p>
    <w:p w:rsidR="00A57D4D" w:rsidRPr="00DE4741" w:rsidRDefault="00A57D4D" w:rsidP="00A57D4D">
      <w:pPr>
        <w:spacing w:line="360" w:lineRule="auto"/>
        <w:ind w:firstLineChars="200" w:firstLine="480"/>
        <w:rPr>
          <w:rFonts w:ascii="宋体" w:hAnsi="宋体"/>
          <w:kern w:val="0"/>
          <w:sz w:val="24"/>
          <w:szCs w:val="24"/>
        </w:rPr>
      </w:pPr>
      <w:r w:rsidRPr="00DE4741">
        <w:rPr>
          <w:rFonts w:ascii="宋体" w:hAnsi="宋体" w:hint="eastAsia"/>
          <w:kern w:val="0"/>
          <w:sz w:val="24"/>
          <w:szCs w:val="24"/>
        </w:rPr>
        <w:t>（6） 常用设备和照明用的设备电源电压应符合院《安全管理手册》及GB/T3805-2008《特低电压（ELV）限值》的要求，禁止使用明火照明；</w:t>
      </w:r>
    </w:p>
    <w:p w:rsidR="00A57D4D" w:rsidRPr="00DE4741" w:rsidRDefault="00A57D4D" w:rsidP="00A57D4D">
      <w:pPr>
        <w:spacing w:line="360" w:lineRule="auto"/>
        <w:ind w:firstLineChars="200" w:firstLine="480"/>
        <w:rPr>
          <w:rFonts w:ascii="宋体" w:hAnsi="宋体"/>
          <w:kern w:val="0"/>
          <w:sz w:val="24"/>
          <w:szCs w:val="24"/>
        </w:rPr>
      </w:pPr>
      <w:r w:rsidRPr="00DE4741">
        <w:rPr>
          <w:rFonts w:ascii="宋体" w:hAnsi="宋体" w:hint="eastAsia"/>
          <w:kern w:val="0"/>
          <w:sz w:val="24"/>
          <w:szCs w:val="24"/>
        </w:rPr>
        <w:t>（7） 坠落高度基准面2米以上（含2米）进行检验检测工作时，检验检测人员应系好安全带、戴好安全帽，安全带必须系挂在施工作业面上方的牢固构件上，不得系挂在有尖锐棱角的部位。安全带系挂下方应有足够的净空。安全带应高挂（系）低用，不得采用低于腰部水平的系挂方法，严禁用绳子捆在腰部代替安全带；安全带未挂时，应将挂绳系牢，不得拖挂；</w:t>
      </w:r>
    </w:p>
    <w:p w:rsidR="00A57D4D" w:rsidRPr="00DE4741" w:rsidRDefault="00A57D4D" w:rsidP="00A57D4D">
      <w:pPr>
        <w:spacing w:line="360" w:lineRule="auto"/>
        <w:ind w:firstLineChars="200" w:firstLine="480"/>
        <w:rPr>
          <w:rFonts w:ascii="宋体" w:hAnsi="宋体"/>
          <w:kern w:val="0"/>
          <w:sz w:val="24"/>
          <w:szCs w:val="24"/>
        </w:rPr>
      </w:pPr>
      <w:r w:rsidRPr="00DE4741">
        <w:rPr>
          <w:rFonts w:ascii="宋体" w:hAnsi="宋体" w:hint="eastAsia"/>
          <w:kern w:val="0"/>
          <w:sz w:val="24"/>
          <w:szCs w:val="24"/>
        </w:rPr>
        <w:t>（8） 对于需要登高检验作业时，如无固定平台和扶梯，应临时搭设脚手架</w:t>
      </w:r>
      <w:r w:rsidRPr="00DE4741">
        <w:rPr>
          <w:rFonts w:ascii="宋体" w:hAnsi="宋体" w:hint="eastAsia"/>
          <w:kern w:val="0"/>
          <w:sz w:val="24"/>
          <w:szCs w:val="24"/>
        </w:rPr>
        <w:lastRenderedPageBreak/>
        <w:t>和扶梯，脚手架和扶梯必须固定，</w:t>
      </w:r>
      <w:proofErr w:type="gramStart"/>
      <w:r w:rsidRPr="00DE4741">
        <w:rPr>
          <w:rFonts w:ascii="宋体" w:hAnsi="宋体" w:hint="eastAsia"/>
          <w:kern w:val="0"/>
          <w:sz w:val="24"/>
          <w:szCs w:val="24"/>
        </w:rPr>
        <w:t>经安全</w:t>
      </w:r>
      <w:proofErr w:type="gramEnd"/>
      <w:r w:rsidRPr="00DE4741">
        <w:rPr>
          <w:rFonts w:ascii="宋体" w:hAnsi="宋体" w:hint="eastAsia"/>
          <w:kern w:val="0"/>
          <w:sz w:val="24"/>
          <w:szCs w:val="24"/>
        </w:rPr>
        <w:t>验收合格；</w:t>
      </w:r>
    </w:p>
    <w:p w:rsidR="00A57D4D" w:rsidRPr="00DE4741" w:rsidRDefault="00A57D4D" w:rsidP="00A57D4D">
      <w:pPr>
        <w:spacing w:line="360" w:lineRule="auto"/>
        <w:ind w:firstLineChars="200" w:firstLine="480"/>
        <w:rPr>
          <w:rFonts w:ascii="宋体" w:hAnsi="宋体"/>
          <w:kern w:val="0"/>
          <w:sz w:val="24"/>
          <w:szCs w:val="24"/>
        </w:rPr>
      </w:pPr>
      <w:r w:rsidRPr="00DE4741">
        <w:rPr>
          <w:rFonts w:ascii="宋体" w:hAnsi="宋体" w:hint="eastAsia"/>
          <w:kern w:val="0"/>
          <w:sz w:val="24"/>
          <w:szCs w:val="24"/>
        </w:rPr>
        <w:t>（9） 现场进行射线探伤时，应隔离出透照区，设置安全标志，检验人员应远离透照区；</w:t>
      </w:r>
    </w:p>
    <w:p w:rsidR="00A57D4D" w:rsidRPr="00DE4741" w:rsidRDefault="00A57D4D" w:rsidP="00A57D4D">
      <w:pPr>
        <w:spacing w:line="360" w:lineRule="auto"/>
        <w:ind w:firstLineChars="200" w:firstLine="480"/>
        <w:rPr>
          <w:rFonts w:ascii="宋体" w:hAnsi="宋体"/>
          <w:kern w:val="0"/>
          <w:sz w:val="24"/>
          <w:szCs w:val="24"/>
        </w:rPr>
      </w:pPr>
      <w:r w:rsidRPr="00DE4741">
        <w:rPr>
          <w:rFonts w:ascii="宋体" w:hAnsi="宋体" w:hint="eastAsia"/>
          <w:kern w:val="0"/>
          <w:sz w:val="24"/>
          <w:szCs w:val="24"/>
        </w:rPr>
        <w:t>（10） 锅炉进行水压试验时，检验人员应检查水压试验现场是否符合有关规定，检验人员应在安全的地方检查水压试验；</w:t>
      </w:r>
    </w:p>
    <w:p w:rsidR="00A57D4D" w:rsidRPr="00DE4741" w:rsidRDefault="00A57D4D" w:rsidP="00A57D4D">
      <w:pPr>
        <w:spacing w:line="360" w:lineRule="auto"/>
        <w:ind w:firstLineChars="200" w:firstLine="480"/>
        <w:rPr>
          <w:rFonts w:ascii="宋体" w:hAnsi="宋体"/>
          <w:kern w:val="0"/>
          <w:sz w:val="24"/>
          <w:szCs w:val="24"/>
        </w:rPr>
      </w:pPr>
      <w:r w:rsidRPr="00DE4741">
        <w:rPr>
          <w:rFonts w:ascii="宋体" w:hAnsi="宋体" w:hint="eastAsia"/>
          <w:kern w:val="0"/>
          <w:sz w:val="24"/>
          <w:szCs w:val="24"/>
        </w:rPr>
        <w:t>（11） 设备内部装置应拆除或固定牢靠，注意碰撞和滑动；</w:t>
      </w:r>
    </w:p>
    <w:p w:rsidR="00A57D4D" w:rsidRPr="00DE4741" w:rsidRDefault="00A57D4D" w:rsidP="00A57D4D">
      <w:pPr>
        <w:spacing w:line="360" w:lineRule="auto"/>
        <w:ind w:firstLineChars="200" w:firstLine="480"/>
        <w:rPr>
          <w:rFonts w:ascii="宋体" w:hAnsi="宋体"/>
          <w:kern w:val="0"/>
          <w:sz w:val="24"/>
          <w:szCs w:val="24"/>
        </w:rPr>
      </w:pPr>
      <w:r w:rsidRPr="00DE4741">
        <w:rPr>
          <w:rFonts w:ascii="宋体" w:hAnsi="宋体" w:hint="eastAsia"/>
          <w:kern w:val="0"/>
          <w:sz w:val="24"/>
          <w:szCs w:val="24"/>
        </w:rPr>
        <w:t>（12） 检验设备温度应在35度以下，并通风良好；</w:t>
      </w:r>
    </w:p>
    <w:p w:rsidR="00A57D4D" w:rsidRPr="00DE4741" w:rsidRDefault="00A57D4D" w:rsidP="00A57D4D">
      <w:pPr>
        <w:spacing w:line="360" w:lineRule="auto"/>
        <w:ind w:firstLineChars="200" w:firstLine="480"/>
        <w:rPr>
          <w:rFonts w:ascii="宋体" w:hAnsi="宋体"/>
          <w:kern w:val="0"/>
          <w:sz w:val="24"/>
          <w:szCs w:val="24"/>
        </w:rPr>
      </w:pPr>
      <w:r w:rsidRPr="00DE4741">
        <w:rPr>
          <w:rFonts w:ascii="宋体" w:hAnsi="宋体" w:hint="eastAsia"/>
          <w:kern w:val="0"/>
          <w:sz w:val="24"/>
          <w:szCs w:val="24"/>
        </w:rPr>
        <w:t>（13） 如做功能试验，应由设备使用单位人员操作，操作时应注意安全；</w:t>
      </w:r>
    </w:p>
    <w:p w:rsidR="00A57D4D" w:rsidRPr="00DE4741" w:rsidRDefault="00A57D4D" w:rsidP="00A57D4D">
      <w:pPr>
        <w:spacing w:line="360" w:lineRule="auto"/>
        <w:ind w:firstLineChars="200" w:firstLine="480"/>
        <w:rPr>
          <w:rFonts w:ascii="宋体" w:hAnsi="宋体"/>
          <w:kern w:val="0"/>
          <w:sz w:val="24"/>
          <w:szCs w:val="24"/>
        </w:rPr>
      </w:pPr>
      <w:r w:rsidRPr="00DE4741">
        <w:rPr>
          <w:rFonts w:ascii="宋体" w:hAnsi="宋体" w:hint="eastAsia"/>
          <w:kern w:val="0"/>
          <w:sz w:val="24"/>
          <w:szCs w:val="24"/>
        </w:rPr>
        <w:t>（14） 登高作业时应注意扶梯、围拦可靠性，避免登空。</w:t>
      </w:r>
    </w:p>
    <w:p w:rsidR="00A57D4D" w:rsidRPr="00DE4741" w:rsidRDefault="00A57D4D" w:rsidP="00A57D4D">
      <w:pPr>
        <w:spacing w:line="360" w:lineRule="auto"/>
        <w:ind w:firstLineChars="200" w:firstLine="480"/>
        <w:rPr>
          <w:rFonts w:ascii="宋体" w:hAnsi="宋体"/>
          <w:kern w:val="0"/>
          <w:sz w:val="24"/>
          <w:szCs w:val="24"/>
        </w:rPr>
      </w:pPr>
      <w:r w:rsidRPr="00DE4741">
        <w:rPr>
          <w:rFonts w:ascii="宋体" w:hAnsi="宋体" w:hint="eastAsia"/>
          <w:kern w:val="0"/>
          <w:sz w:val="24"/>
          <w:szCs w:val="24"/>
        </w:rPr>
        <w:t>（5） 松动的砌体应预先打落或作可靠的防护，检查保温层脱落的部位应注意不被烫伤；</w:t>
      </w:r>
    </w:p>
    <w:p w:rsidR="00A57D4D" w:rsidRPr="00DE4741" w:rsidRDefault="00A57D4D" w:rsidP="00A57D4D">
      <w:pPr>
        <w:spacing w:line="360" w:lineRule="auto"/>
        <w:ind w:firstLineChars="200" w:firstLine="480"/>
        <w:rPr>
          <w:rFonts w:ascii="宋体" w:hAnsi="宋体"/>
          <w:kern w:val="0"/>
          <w:sz w:val="24"/>
          <w:szCs w:val="24"/>
        </w:rPr>
      </w:pPr>
      <w:r w:rsidRPr="00DE4741">
        <w:rPr>
          <w:rFonts w:ascii="宋体" w:hAnsi="宋体" w:hint="eastAsia"/>
          <w:kern w:val="0"/>
          <w:sz w:val="24"/>
          <w:szCs w:val="24"/>
        </w:rPr>
        <w:t>（16） 垃圾焚烧锅炉或者其他存在特殊有毒有害物质（二噁英、酸性气体、卤化物）的电站锅炉内部检验前，使用单位应做好检验前期处理工作：对炉膛及烟道内部进行刮渣、冲洗、空气流通等措施，保证锅炉内部有毒有害气体达到相应安全标准；</w:t>
      </w:r>
    </w:p>
    <w:p w:rsidR="00A57D4D" w:rsidRDefault="00A57D4D" w:rsidP="00A57D4D">
      <w:pPr>
        <w:spacing w:line="360" w:lineRule="auto"/>
        <w:ind w:firstLineChars="200" w:firstLine="480"/>
        <w:rPr>
          <w:rFonts w:ascii="宋体" w:hAnsi="宋体"/>
          <w:kern w:val="0"/>
          <w:sz w:val="24"/>
          <w:szCs w:val="24"/>
        </w:rPr>
      </w:pPr>
      <w:r w:rsidRPr="00DE4741">
        <w:rPr>
          <w:rFonts w:ascii="宋体" w:hAnsi="宋体" w:hint="eastAsia"/>
          <w:kern w:val="0"/>
          <w:sz w:val="24"/>
          <w:szCs w:val="24"/>
        </w:rPr>
        <w:t>（17） 检验人员必须遵守作业现场的有关安全操作规章以及</w:t>
      </w:r>
      <w:proofErr w:type="gramStart"/>
      <w:r w:rsidRPr="00DE4741">
        <w:rPr>
          <w:rFonts w:ascii="宋体" w:hAnsi="宋体" w:hint="eastAsia"/>
          <w:kern w:val="0"/>
          <w:sz w:val="24"/>
          <w:szCs w:val="24"/>
        </w:rPr>
        <w:t>本安全</w:t>
      </w:r>
      <w:proofErr w:type="gramEnd"/>
      <w:r w:rsidRPr="00DE4741">
        <w:rPr>
          <w:rFonts w:ascii="宋体" w:hAnsi="宋体" w:hint="eastAsia"/>
          <w:kern w:val="0"/>
          <w:sz w:val="24"/>
          <w:szCs w:val="24"/>
        </w:rPr>
        <w:t>技术要求，对自己的安全负责。检验工作结束后，应清点所携带的工具，以防遗留在锅炉内。</w:t>
      </w:r>
    </w:p>
    <w:p w:rsidR="00A57D4D" w:rsidRPr="00F06272" w:rsidRDefault="00A57D4D" w:rsidP="00A57D4D">
      <w:pPr>
        <w:spacing w:line="360" w:lineRule="auto"/>
        <w:ind w:firstLineChars="200" w:firstLine="480"/>
        <w:rPr>
          <w:rFonts w:ascii="宋体" w:hAnsi="宋体"/>
          <w:kern w:val="0"/>
          <w:sz w:val="24"/>
          <w:szCs w:val="24"/>
        </w:rPr>
      </w:pPr>
      <w:r>
        <w:rPr>
          <w:rFonts w:ascii="宋体" w:hAnsi="宋体" w:hint="eastAsia"/>
          <w:kern w:val="0"/>
          <w:sz w:val="24"/>
          <w:szCs w:val="24"/>
        </w:rPr>
        <w:t>5.2</w:t>
      </w:r>
      <w:r>
        <w:rPr>
          <w:rFonts w:hint="eastAsia"/>
          <w:sz w:val="24"/>
        </w:rPr>
        <w:t>基本安全措施包括（见表</w:t>
      </w:r>
      <w:r>
        <w:rPr>
          <w:rFonts w:hint="eastAsia"/>
          <w:sz w:val="24"/>
        </w:rPr>
        <w:t>2</w:t>
      </w:r>
      <w:r>
        <w:rPr>
          <w:rFonts w:hint="eastAsia"/>
          <w:sz w:val="24"/>
        </w:rPr>
        <w:t>）。</w:t>
      </w:r>
    </w:p>
    <w:p w:rsidR="00A57D4D" w:rsidRPr="009550A6" w:rsidRDefault="00A57D4D" w:rsidP="00A57D4D">
      <w:pPr>
        <w:spacing w:line="360" w:lineRule="auto"/>
        <w:ind w:firstLineChars="200" w:firstLine="480"/>
        <w:jc w:val="center"/>
        <w:rPr>
          <w:rFonts w:ascii="宋体" w:hAnsi="宋体"/>
          <w:kern w:val="0"/>
          <w:sz w:val="24"/>
        </w:rPr>
      </w:pPr>
      <w:r w:rsidRPr="009550A6">
        <w:rPr>
          <w:rFonts w:ascii="宋体" w:hAnsi="宋体"/>
          <w:kern w:val="0"/>
          <w:sz w:val="24"/>
        </w:rPr>
        <w:t>表</w:t>
      </w:r>
      <w:r w:rsidRPr="009550A6">
        <w:rPr>
          <w:rFonts w:ascii="宋体" w:hAnsi="宋体" w:hint="eastAsia"/>
          <w:kern w:val="0"/>
          <w:sz w:val="24"/>
        </w:rPr>
        <w:t xml:space="preserve"> 2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410"/>
        <w:gridCol w:w="4678"/>
        <w:gridCol w:w="708"/>
      </w:tblGrid>
      <w:tr w:rsidR="00A57D4D" w:rsidTr="00333FA1">
        <w:trPr>
          <w:trHeight w:hRule="exact" w:val="454"/>
          <w:tblHeader/>
          <w:jc w:val="center"/>
        </w:trPr>
        <w:tc>
          <w:tcPr>
            <w:tcW w:w="704" w:type="dxa"/>
            <w:vAlign w:val="center"/>
          </w:tcPr>
          <w:p w:rsidR="00A57D4D" w:rsidRPr="0021738E" w:rsidRDefault="00A57D4D" w:rsidP="00333FA1">
            <w:pPr>
              <w:spacing w:line="360" w:lineRule="auto"/>
            </w:pPr>
            <w:r w:rsidRPr="0021738E">
              <w:t>序号</w:t>
            </w:r>
          </w:p>
        </w:tc>
        <w:tc>
          <w:tcPr>
            <w:tcW w:w="2410" w:type="dxa"/>
            <w:vAlign w:val="center"/>
          </w:tcPr>
          <w:p w:rsidR="00A57D4D" w:rsidRPr="0021738E" w:rsidRDefault="00A57D4D" w:rsidP="00333FA1">
            <w:pPr>
              <w:spacing w:line="360" w:lineRule="auto"/>
            </w:pPr>
            <w:r w:rsidRPr="0021738E">
              <w:t>工作项目</w:t>
            </w:r>
          </w:p>
        </w:tc>
        <w:tc>
          <w:tcPr>
            <w:tcW w:w="4678" w:type="dxa"/>
            <w:vAlign w:val="center"/>
          </w:tcPr>
          <w:p w:rsidR="00A57D4D" w:rsidRPr="0021738E" w:rsidRDefault="00A57D4D" w:rsidP="00333FA1">
            <w:pPr>
              <w:spacing w:line="360" w:lineRule="auto"/>
            </w:pPr>
            <w:r w:rsidRPr="0021738E">
              <w:t>工作内容及要求</w:t>
            </w:r>
          </w:p>
        </w:tc>
        <w:tc>
          <w:tcPr>
            <w:tcW w:w="708" w:type="dxa"/>
            <w:vAlign w:val="center"/>
          </w:tcPr>
          <w:p w:rsidR="00A57D4D" w:rsidRPr="0021738E" w:rsidRDefault="00A57D4D" w:rsidP="00333FA1">
            <w:pPr>
              <w:spacing w:line="360" w:lineRule="auto"/>
            </w:pPr>
            <w:r w:rsidRPr="0021738E">
              <w:t>备注</w:t>
            </w:r>
          </w:p>
        </w:tc>
      </w:tr>
      <w:tr w:rsidR="00A57D4D" w:rsidTr="00333FA1">
        <w:trPr>
          <w:trHeight w:hRule="exact" w:val="454"/>
          <w:jc w:val="center"/>
        </w:trPr>
        <w:tc>
          <w:tcPr>
            <w:tcW w:w="704" w:type="dxa"/>
            <w:vAlign w:val="center"/>
          </w:tcPr>
          <w:p w:rsidR="00A57D4D" w:rsidRPr="0021738E" w:rsidRDefault="00A57D4D" w:rsidP="00333FA1">
            <w:pPr>
              <w:spacing w:line="360" w:lineRule="auto"/>
            </w:pPr>
            <w:r w:rsidRPr="0021738E">
              <w:rPr>
                <w:rFonts w:hint="eastAsia"/>
              </w:rPr>
              <w:t>1</w:t>
            </w:r>
          </w:p>
        </w:tc>
        <w:tc>
          <w:tcPr>
            <w:tcW w:w="2410" w:type="dxa"/>
            <w:vAlign w:val="center"/>
          </w:tcPr>
          <w:p w:rsidR="00A57D4D" w:rsidRPr="0021738E" w:rsidRDefault="00A57D4D" w:rsidP="00333FA1">
            <w:pPr>
              <w:spacing w:line="360" w:lineRule="auto"/>
            </w:pPr>
            <w:r w:rsidRPr="0021738E">
              <w:t>危险源辨识</w:t>
            </w:r>
          </w:p>
        </w:tc>
        <w:tc>
          <w:tcPr>
            <w:tcW w:w="4678" w:type="dxa"/>
            <w:vAlign w:val="center"/>
          </w:tcPr>
          <w:p w:rsidR="00A57D4D" w:rsidRPr="0021738E" w:rsidRDefault="00A57D4D" w:rsidP="00333FA1">
            <w:pPr>
              <w:spacing w:line="360" w:lineRule="auto"/>
            </w:pPr>
            <w:r w:rsidRPr="0021738E">
              <w:t>对照表</w:t>
            </w:r>
            <w:r w:rsidRPr="0021738E">
              <w:rPr>
                <w:rFonts w:hint="eastAsia"/>
              </w:rPr>
              <w:t>1</w:t>
            </w:r>
            <w:r w:rsidRPr="0021738E">
              <w:t>对现场危险源进行辨识。</w:t>
            </w:r>
          </w:p>
        </w:tc>
        <w:tc>
          <w:tcPr>
            <w:tcW w:w="708" w:type="dxa"/>
            <w:vAlign w:val="center"/>
          </w:tcPr>
          <w:p w:rsidR="00A57D4D" w:rsidRPr="0021738E" w:rsidRDefault="00A57D4D" w:rsidP="00333FA1">
            <w:pPr>
              <w:spacing w:line="360" w:lineRule="auto"/>
            </w:pPr>
          </w:p>
        </w:tc>
      </w:tr>
      <w:tr w:rsidR="00A57D4D" w:rsidTr="00333FA1">
        <w:trPr>
          <w:trHeight w:hRule="exact" w:val="454"/>
          <w:jc w:val="center"/>
        </w:trPr>
        <w:tc>
          <w:tcPr>
            <w:tcW w:w="704" w:type="dxa"/>
            <w:vAlign w:val="center"/>
          </w:tcPr>
          <w:p w:rsidR="00A57D4D" w:rsidRPr="0021738E" w:rsidRDefault="00A57D4D" w:rsidP="00333FA1">
            <w:pPr>
              <w:spacing w:line="360" w:lineRule="auto"/>
            </w:pPr>
            <w:r w:rsidRPr="0021738E">
              <w:rPr>
                <w:rFonts w:hint="eastAsia"/>
              </w:rPr>
              <w:t>2</w:t>
            </w:r>
          </w:p>
        </w:tc>
        <w:tc>
          <w:tcPr>
            <w:tcW w:w="2410" w:type="dxa"/>
            <w:vAlign w:val="center"/>
          </w:tcPr>
          <w:p w:rsidR="00A57D4D" w:rsidRPr="0021738E" w:rsidRDefault="00A57D4D" w:rsidP="00333FA1">
            <w:pPr>
              <w:spacing w:line="360" w:lineRule="auto"/>
            </w:pPr>
            <w:r w:rsidRPr="0021738E">
              <w:t>安全</w:t>
            </w:r>
            <w:r w:rsidRPr="0021738E">
              <w:rPr>
                <w:rFonts w:hint="eastAsia"/>
              </w:rPr>
              <w:t>知识学习</w:t>
            </w:r>
          </w:p>
        </w:tc>
        <w:tc>
          <w:tcPr>
            <w:tcW w:w="4678" w:type="dxa"/>
            <w:vAlign w:val="center"/>
          </w:tcPr>
          <w:p w:rsidR="00A57D4D" w:rsidRPr="0021738E" w:rsidRDefault="00A57D4D" w:rsidP="00333FA1">
            <w:pPr>
              <w:spacing w:line="360" w:lineRule="auto"/>
            </w:pPr>
            <w:r w:rsidRPr="0021738E">
              <w:t>项目</w:t>
            </w:r>
            <w:r w:rsidRPr="0021738E">
              <w:rPr>
                <w:rFonts w:hint="eastAsia"/>
              </w:rPr>
              <w:t>开展前监检人员自行进行</w:t>
            </w:r>
            <w:r w:rsidRPr="0021738E">
              <w:t>安全</w:t>
            </w:r>
            <w:r w:rsidRPr="0021738E">
              <w:rPr>
                <w:rFonts w:hint="eastAsia"/>
              </w:rPr>
              <w:t>知识学习</w:t>
            </w:r>
            <w:r w:rsidRPr="0021738E">
              <w:t>。</w:t>
            </w:r>
          </w:p>
        </w:tc>
        <w:tc>
          <w:tcPr>
            <w:tcW w:w="708" w:type="dxa"/>
            <w:vAlign w:val="center"/>
          </w:tcPr>
          <w:p w:rsidR="00A57D4D" w:rsidRPr="0021738E" w:rsidRDefault="00A57D4D" w:rsidP="00333FA1">
            <w:pPr>
              <w:spacing w:line="360" w:lineRule="auto"/>
            </w:pPr>
          </w:p>
        </w:tc>
      </w:tr>
      <w:tr w:rsidR="00A57D4D" w:rsidTr="00333FA1">
        <w:trPr>
          <w:trHeight w:hRule="exact" w:val="454"/>
          <w:jc w:val="center"/>
        </w:trPr>
        <w:tc>
          <w:tcPr>
            <w:tcW w:w="704" w:type="dxa"/>
            <w:vAlign w:val="center"/>
          </w:tcPr>
          <w:p w:rsidR="00A57D4D" w:rsidRPr="0021738E" w:rsidRDefault="00A57D4D" w:rsidP="00333FA1">
            <w:pPr>
              <w:spacing w:line="360" w:lineRule="auto"/>
            </w:pPr>
            <w:r w:rsidRPr="0021738E">
              <w:rPr>
                <w:rFonts w:hint="eastAsia"/>
              </w:rPr>
              <w:t>3</w:t>
            </w:r>
          </w:p>
        </w:tc>
        <w:tc>
          <w:tcPr>
            <w:tcW w:w="2410" w:type="dxa"/>
            <w:vAlign w:val="center"/>
          </w:tcPr>
          <w:p w:rsidR="00A57D4D" w:rsidRPr="0021738E" w:rsidRDefault="00A57D4D" w:rsidP="00333FA1">
            <w:pPr>
              <w:spacing w:line="360" w:lineRule="auto"/>
            </w:pPr>
            <w:r w:rsidRPr="0021738E">
              <w:t>安全防护</w:t>
            </w:r>
          </w:p>
        </w:tc>
        <w:tc>
          <w:tcPr>
            <w:tcW w:w="4678" w:type="dxa"/>
            <w:vAlign w:val="center"/>
          </w:tcPr>
          <w:p w:rsidR="00A57D4D" w:rsidRPr="0021738E" w:rsidRDefault="00A57D4D" w:rsidP="00333FA1">
            <w:pPr>
              <w:spacing w:line="360" w:lineRule="auto"/>
            </w:pPr>
            <w:r w:rsidRPr="0021738E">
              <w:t>劳动防护用品齐全有效，并正确佩戴。</w:t>
            </w:r>
          </w:p>
        </w:tc>
        <w:tc>
          <w:tcPr>
            <w:tcW w:w="708" w:type="dxa"/>
            <w:vAlign w:val="center"/>
          </w:tcPr>
          <w:p w:rsidR="00A57D4D" w:rsidRPr="0021738E" w:rsidRDefault="00A57D4D" w:rsidP="00333FA1">
            <w:pPr>
              <w:spacing w:line="360" w:lineRule="auto"/>
            </w:pPr>
          </w:p>
        </w:tc>
      </w:tr>
      <w:tr w:rsidR="00A57D4D" w:rsidTr="00333FA1">
        <w:trPr>
          <w:trHeight w:val="397"/>
          <w:jc w:val="center"/>
        </w:trPr>
        <w:tc>
          <w:tcPr>
            <w:tcW w:w="704" w:type="dxa"/>
            <w:vAlign w:val="center"/>
          </w:tcPr>
          <w:p w:rsidR="00A57D4D" w:rsidRPr="0021738E" w:rsidRDefault="00A57D4D" w:rsidP="00333FA1">
            <w:pPr>
              <w:spacing w:line="360" w:lineRule="auto"/>
            </w:pPr>
            <w:r w:rsidRPr="0021738E">
              <w:rPr>
                <w:rFonts w:hint="eastAsia"/>
              </w:rPr>
              <w:t>4</w:t>
            </w:r>
          </w:p>
        </w:tc>
        <w:tc>
          <w:tcPr>
            <w:tcW w:w="2410" w:type="dxa"/>
            <w:vAlign w:val="center"/>
          </w:tcPr>
          <w:p w:rsidR="00A57D4D" w:rsidRPr="0021738E" w:rsidRDefault="00A57D4D" w:rsidP="00333FA1">
            <w:pPr>
              <w:spacing w:line="360" w:lineRule="auto"/>
            </w:pPr>
            <w:r w:rsidRPr="0021738E">
              <w:t>安全检查</w:t>
            </w:r>
          </w:p>
        </w:tc>
        <w:tc>
          <w:tcPr>
            <w:tcW w:w="4678" w:type="dxa"/>
            <w:vAlign w:val="center"/>
          </w:tcPr>
          <w:p w:rsidR="00A57D4D" w:rsidRPr="0021738E" w:rsidRDefault="00A57D4D" w:rsidP="00333FA1">
            <w:pPr>
              <w:spacing w:line="360" w:lineRule="auto"/>
            </w:pPr>
            <w:r w:rsidRPr="0021738E">
              <w:t>项目实施过程中进行安全监督和检查，对存在安全隐患提出整改要求。</w:t>
            </w:r>
          </w:p>
        </w:tc>
        <w:tc>
          <w:tcPr>
            <w:tcW w:w="708" w:type="dxa"/>
            <w:vAlign w:val="center"/>
          </w:tcPr>
          <w:p w:rsidR="00A57D4D" w:rsidRPr="0021738E" w:rsidRDefault="00A57D4D" w:rsidP="00333FA1">
            <w:pPr>
              <w:spacing w:line="360" w:lineRule="auto"/>
            </w:pPr>
          </w:p>
        </w:tc>
      </w:tr>
    </w:tbl>
    <w:p w:rsidR="00C505A7" w:rsidRPr="00A57D4D" w:rsidRDefault="00C505A7"/>
    <w:sectPr w:rsidR="00C505A7" w:rsidRPr="00A57D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1F" w:rsidRDefault="0046711F" w:rsidP="00A57D4D">
      <w:r>
        <w:separator/>
      </w:r>
    </w:p>
  </w:endnote>
  <w:endnote w:type="continuationSeparator" w:id="0">
    <w:p w:rsidR="0046711F" w:rsidRDefault="0046711F" w:rsidP="00A5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1F" w:rsidRDefault="0046711F" w:rsidP="00A57D4D">
      <w:r>
        <w:separator/>
      </w:r>
    </w:p>
  </w:footnote>
  <w:footnote w:type="continuationSeparator" w:id="0">
    <w:p w:rsidR="0046711F" w:rsidRDefault="0046711F" w:rsidP="00A57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64B"/>
    <w:rsid w:val="0046711F"/>
    <w:rsid w:val="00A57D4D"/>
    <w:rsid w:val="00C505A7"/>
    <w:rsid w:val="00CF7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D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7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7D4D"/>
    <w:rPr>
      <w:sz w:val="18"/>
      <w:szCs w:val="18"/>
    </w:rPr>
  </w:style>
  <w:style w:type="paragraph" w:styleId="a4">
    <w:name w:val="footer"/>
    <w:basedOn w:val="a"/>
    <w:link w:val="Char0"/>
    <w:uiPriority w:val="99"/>
    <w:unhideWhenUsed/>
    <w:rsid w:val="00A57D4D"/>
    <w:pPr>
      <w:tabs>
        <w:tab w:val="center" w:pos="4153"/>
        <w:tab w:val="right" w:pos="8306"/>
      </w:tabs>
      <w:snapToGrid w:val="0"/>
      <w:jc w:val="left"/>
    </w:pPr>
    <w:rPr>
      <w:sz w:val="18"/>
      <w:szCs w:val="18"/>
    </w:rPr>
  </w:style>
  <w:style w:type="character" w:customStyle="1" w:styleId="Char0">
    <w:name w:val="页脚 Char"/>
    <w:basedOn w:val="a0"/>
    <w:link w:val="a4"/>
    <w:uiPriority w:val="99"/>
    <w:rsid w:val="00A57D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D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7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7D4D"/>
    <w:rPr>
      <w:sz w:val="18"/>
      <w:szCs w:val="18"/>
    </w:rPr>
  </w:style>
  <w:style w:type="paragraph" w:styleId="a4">
    <w:name w:val="footer"/>
    <w:basedOn w:val="a"/>
    <w:link w:val="Char0"/>
    <w:uiPriority w:val="99"/>
    <w:unhideWhenUsed/>
    <w:rsid w:val="00A57D4D"/>
    <w:pPr>
      <w:tabs>
        <w:tab w:val="center" w:pos="4153"/>
        <w:tab w:val="right" w:pos="8306"/>
      </w:tabs>
      <w:snapToGrid w:val="0"/>
      <w:jc w:val="left"/>
    </w:pPr>
    <w:rPr>
      <w:sz w:val="18"/>
      <w:szCs w:val="18"/>
    </w:rPr>
  </w:style>
  <w:style w:type="character" w:customStyle="1" w:styleId="Char0">
    <w:name w:val="页脚 Char"/>
    <w:basedOn w:val="a0"/>
    <w:link w:val="a4"/>
    <w:uiPriority w:val="99"/>
    <w:rsid w:val="00A57D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2023-08-30T23:17:00Z</dcterms:created>
  <dcterms:modified xsi:type="dcterms:W3CDTF">2023-08-30T23:18:00Z</dcterms:modified>
</cp:coreProperties>
</file>